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8E" w:rsidRDefault="00D60512">
      <w:pPr>
        <w:jc w:val="left"/>
        <w:rPr>
          <w:rFonts w:ascii="Ђˎ̥" w:eastAsia="宋体" w:hAnsi="Ђˎ̥" w:cs="Arial" w:hint="eastAsia"/>
          <w:bCs/>
          <w:kern w:val="0"/>
          <w:szCs w:val="21"/>
        </w:rPr>
      </w:pPr>
      <w:r>
        <w:rPr>
          <w:rFonts w:ascii="Ђˎ̥" w:eastAsia="宋体" w:hAnsi="Ђˎ̥" w:cs="Arial" w:hint="eastAsia"/>
          <w:bCs/>
          <w:kern w:val="0"/>
          <w:szCs w:val="21"/>
        </w:rPr>
        <w:t>附件二：</w:t>
      </w:r>
    </w:p>
    <w:p w:rsidR="003C4D8E" w:rsidRDefault="00D60512">
      <w:pPr>
        <w:spacing w:line="440" w:lineRule="exact"/>
        <w:jc w:val="center"/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202</w:t>
      </w:r>
      <w:r w:rsidR="00CD00B9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</w:t>
      </w: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吉林省高等院校应用型</w:t>
      </w:r>
      <w:proofErr w:type="gramStart"/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教育微课教学</w:t>
      </w:r>
      <w:proofErr w:type="gramEnd"/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比赛</w:t>
      </w:r>
      <w:r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  <w:t>评审</w:t>
      </w:r>
      <w:r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标准</w:t>
      </w:r>
    </w:p>
    <w:p w:rsidR="003C4D8E" w:rsidRDefault="00D60512">
      <w:pPr>
        <w:spacing w:line="340" w:lineRule="exact"/>
        <w:jc w:val="center"/>
        <w:rPr>
          <w:rFonts w:asciiTheme="majorEastAsia" w:eastAsiaTheme="majorEastAsia" w:hAnsiTheme="majorEastAsia" w:cs="Arial"/>
          <w:b/>
          <w:bCs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（202</w:t>
      </w:r>
      <w:r>
        <w:rPr>
          <w:rFonts w:asciiTheme="majorEastAsia" w:eastAsiaTheme="majorEastAsia" w:hAnsiTheme="majorEastAsia" w:cs="Arial"/>
          <w:b/>
          <w:bCs/>
          <w:kern w:val="0"/>
          <w:szCs w:val="21"/>
        </w:rPr>
        <w:t>0</w:t>
      </w:r>
      <w:r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年修订）</w:t>
      </w:r>
    </w:p>
    <w:p w:rsidR="003C4D8E" w:rsidRDefault="003C4D8E">
      <w:pPr>
        <w:spacing w:line="140" w:lineRule="exact"/>
        <w:jc w:val="center"/>
        <w:rPr>
          <w:szCs w:val="21"/>
        </w:rPr>
      </w:pPr>
    </w:p>
    <w:tbl>
      <w:tblPr>
        <w:tblStyle w:val="a5"/>
        <w:tblW w:w="9187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7821"/>
        <w:gridCol w:w="519"/>
      </w:tblGrid>
      <w:tr w:rsidR="003C4D8E">
        <w:trPr>
          <w:trHeight w:val="949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一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教学设计材料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和教辅资料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提交完整的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设计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方案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。提交教学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课件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PPT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格式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），以单个文件夹形式上传。在课程实际开发中，建议建设丰富的辅助资源，如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习题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及答案、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总结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、学习方法及补充拓展资料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81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微课介绍</w:t>
            </w:r>
            <w:proofErr w:type="gramEnd"/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简要介绍作品的归属、内容、方法、技术和特点，明确注明录制团队、影音资料出处和出镜人的姓名及身份。资料来源不明、发生侵权问题等取消参赛资格。</w:t>
            </w:r>
          </w:p>
        </w:tc>
        <w:tc>
          <w:tcPr>
            <w:tcW w:w="519" w:type="dxa"/>
            <w:vMerge/>
            <w:vAlign w:val="center"/>
          </w:tcPr>
          <w:p w:rsidR="003C4D8E" w:rsidRDefault="003C4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D8E">
        <w:trPr>
          <w:trHeight w:val="607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二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选题价值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3.技术性  </w:t>
            </w:r>
            <w:proofErr w:type="gramStart"/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微课选题</w:t>
            </w:r>
            <w:proofErr w:type="gramEnd"/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有利于运用音像技术表达教学内容，最高程度地使用音像资源和技术手段实现教学目的，实现课堂讲授所不能达到的教学效果。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1129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4.教学性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选题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短小精悍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内容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具备独立性、完整性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代表性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的特点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尽可能打破课堂讲授的思维圈，有突出的与视频受众互动的意识，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能够有效解决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课堂讲授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中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难以讲清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的难点问题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。外语片需双语教学，符合音像教学规律的要求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教学内容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>治取向等方面出现问题将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取消参赛资格。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641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三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作品技术规范与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表达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5.</w:t>
            </w:r>
            <w:proofErr w:type="gramStart"/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微课结构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呈现内容完整，有片头和片尾（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片头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包括微课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标题</w:t>
            </w:r>
            <w:proofErr w:type="gramEnd"/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、作者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等基本信息）。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595"/>
          <w:jc w:val="center"/>
        </w:trPr>
        <w:tc>
          <w:tcPr>
            <w:tcW w:w="847" w:type="dxa"/>
            <w:vMerge/>
            <w:vAlign w:val="center"/>
          </w:tcPr>
          <w:p w:rsidR="003C4D8E" w:rsidRDefault="003C4D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spacing w:line="280" w:lineRule="exact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技术规范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视频格式正确，显示比例标准，影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像清晰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，画面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稳定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声音清楚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、无杂音。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时长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为宜（不超过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15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分钟）。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920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7.创作规范  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微课视频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主体为原创作品，必须自行设计制作完成，讲授部分必须由参赛教师本人完成（不允许使用工具软件或其他人配音）。引用音像资料只能作为辅助（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如例证、案例）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，不能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成为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主体。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922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8.媒体表达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音像表现形式要尽量丰富多彩，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信息技术手段运用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要动静结合，展现教学内容要直观、生动、形象，视觉设计要符合美学要求，拥有吸引力（如精美的图片、动画、音像视频等），符合学习和认知规律要求。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918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四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教学设计与组织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微片反映教学方案的要求。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教学方案围绕选题设计，教学目的明确，教学思路清晰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。教学方法要以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生的需求和感受为出发点，坚持受众第一的教学理念，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突出重点，注重实效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86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10.教学组织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教学编排与组织符合学生的认知规律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教学过程主线清晰、重点突出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逻辑性强，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文稿语句精炼准确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明了易懂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教师出镜庄重典雅，仪表、声音、节奏、色彩、环境等要素搭配合理。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791"/>
          <w:jc w:val="center"/>
        </w:trPr>
        <w:tc>
          <w:tcPr>
            <w:tcW w:w="847" w:type="dxa"/>
            <w:vMerge w:val="restart"/>
            <w:vAlign w:val="center"/>
          </w:tcPr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五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教学效果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与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目标达成</w:t>
            </w:r>
            <w:r>
              <w:rPr>
                <w:rFonts w:hint="eastAsia"/>
                <w:b/>
                <w:sz w:val="24"/>
                <w:szCs w:val="24"/>
              </w:rPr>
              <w:t>25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11.教学效果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音像效果突出，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生动形象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新颖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独特，感受轻松愉悦，学习兴趣浓厚，有助于调动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学习的积极性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主动性。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C4D8E">
        <w:trPr>
          <w:trHeight w:val="706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12.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目标达成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学习者能学懂弄通，便于</w:t>
            </w:r>
            <w:proofErr w:type="gramStart"/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掌握微课所</w:t>
            </w:r>
            <w:proofErr w:type="gramEnd"/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表达的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知识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和技能，有助于帮助实现课程整体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功能性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目标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688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13.作品特色  </w:t>
            </w:r>
            <w:proofErr w:type="gramStart"/>
            <w:r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微课作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课程整体的一部分，要发挥课堂讲授所不能产生的表达效果，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促进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知识向技能转化，构成立体化的学习和消化体系。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701"/>
          <w:jc w:val="center"/>
        </w:trPr>
        <w:tc>
          <w:tcPr>
            <w:tcW w:w="847" w:type="dxa"/>
            <w:vMerge/>
          </w:tcPr>
          <w:p w:rsidR="003C4D8E" w:rsidRDefault="003C4D8E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C4D8E" w:rsidRDefault="00D60512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14.作品应用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作品以微课程或网络课程为载体已在实际教学中应用，有完善课程整体的作用，效果良好（使用情况请在视频介绍中注明）。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C4D8E">
        <w:trPr>
          <w:trHeight w:val="284"/>
          <w:jc w:val="center"/>
        </w:trPr>
        <w:tc>
          <w:tcPr>
            <w:tcW w:w="847" w:type="dxa"/>
            <w:vAlign w:val="center"/>
          </w:tcPr>
          <w:p w:rsidR="003C4D8E" w:rsidRDefault="00D60512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六</w:t>
            </w:r>
          </w:p>
          <w:p w:rsidR="003C4D8E" w:rsidRDefault="00D60512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社会</w:t>
            </w:r>
          </w:p>
          <w:p w:rsidR="003C4D8E" w:rsidRDefault="00D60512">
            <w:pPr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反映</w:t>
            </w:r>
          </w:p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C4D8E" w:rsidRDefault="00D60512">
            <w:pPr>
              <w:numPr>
                <w:ilvl w:val="0"/>
                <w:numId w:val="2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网络评价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参赛微课作品发布后受欢迎程度、点击率、</w:t>
            </w:r>
            <w:bookmarkStart w:id="0" w:name="_GoBack"/>
            <w:bookmarkEnd w:id="0"/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收藏次数、分享次数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用户评价、作者与用户互动情况、讨论热度等。</w:t>
            </w:r>
          </w:p>
          <w:p w:rsidR="003C4D8E" w:rsidRDefault="00D60512">
            <w:pPr>
              <w:numPr>
                <w:ilvl w:val="0"/>
                <w:numId w:val="2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犯规反馈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一稿多投，重复申报，作品隐性重复，均不予以评审。</w:t>
            </w:r>
          </w:p>
        </w:tc>
        <w:tc>
          <w:tcPr>
            <w:tcW w:w="519" w:type="dxa"/>
            <w:vAlign w:val="center"/>
          </w:tcPr>
          <w:p w:rsidR="003C4D8E" w:rsidRDefault="00D6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</w:tbl>
    <w:p w:rsidR="003C4D8E" w:rsidRDefault="003C4D8E"/>
    <w:sectPr w:rsidR="003C4D8E">
      <w:pgSz w:w="11906" w:h="16838"/>
      <w:pgMar w:top="1077" w:right="130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B9" w:rsidRDefault="00CD00B9" w:rsidP="00CD00B9">
      <w:r>
        <w:separator/>
      </w:r>
    </w:p>
  </w:endnote>
  <w:endnote w:type="continuationSeparator" w:id="0">
    <w:p w:rsidR="00CD00B9" w:rsidRDefault="00CD00B9" w:rsidP="00C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Ђˎ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B9" w:rsidRDefault="00CD00B9" w:rsidP="00CD00B9">
      <w:r>
        <w:separator/>
      </w:r>
    </w:p>
  </w:footnote>
  <w:footnote w:type="continuationSeparator" w:id="0">
    <w:p w:rsidR="00CD00B9" w:rsidRDefault="00CD00B9" w:rsidP="00CD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1981D6"/>
    <w:multiLevelType w:val="singleLevel"/>
    <w:tmpl w:val="D21981D6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0EB6A5"/>
    <w:multiLevelType w:val="singleLevel"/>
    <w:tmpl w:val="770EB6A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A8"/>
    <w:rsid w:val="000026C7"/>
    <w:rsid w:val="00010981"/>
    <w:rsid w:val="00062155"/>
    <w:rsid w:val="00075180"/>
    <w:rsid w:val="00086185"/>
    <w:rsid w:val="000B706D"/>
    <w:rsid w:val="000C239F"/>
    <w:rsid w:val="000C6579"/>
    <w:rsid w:val="00115C92"/>
    <w:rsid w:val="00156EDF"/>
    <w:rsid w:val="0017130D"/>
    <w:rsid w:val="001968BF"/>
    <w:rsid w:val="001E19CC"/>
    <w:rsid w:val="001E7B70"/>
    <w:rsid w:val="002030B9"/>
    <w:rsid w:val="002404AE"/>
    <w:rsid w:val="002537CE"/>
    <w:rsid w:val="00264738"/>
    <w:rsid w:val="00266595"/>
    <w:rsid w:val="0027426F"/>
    <w:rsid w:val="0029628F"/>
    <w:rsid w:val="002C60A3"/>
    <w:rsid w:val="002D1810"/>
    <w:rsid w:val="002F07D9"/>
    <w:rsid w:val="002F104F"/>
    <w:rsid w:val="002F5C81"/>
    <w:rsid w:val="00302C25"/>
    <w:rsid w:val="003237A8"/>
    <w:rsid w:val="00331BE8"/>
    <w:rsid w:val="00343577"/>
    <w:rsid w:val="00357F0D"/>
    <w:rsid w:val="00365882"/>
    <w:rsid w:val="00371BE8"/>
    <w:rsid w:val="003A74E3"/>
    <w:rsid w:val="003B2288"/>
    <w:rsid w:val="003C4D8E"/>
    <w:rsid w:val="003D0744"/>
    <w:rsid w:val="00415EC6"/>
    <w:rsid w:val="00420487"/>
    <w:rsid w:val="00444784"/>
    <w:rsid w:val="004A188A"/>
    <w:rsid w:val="004A5A39"/>
    <w:rsid w:val="004A6525"/>
    <w:rsid w:val="004C1B62"/>
    <w:rsid w:val="004C3C12"/>
    <w:rsid w:val="004C3D17"/>
    <w:rsid w:val="004C7071"/>
    <w:rsid w:val="004D0ABA"/>
    <w:rsid w:val="004E337C"/>
    <w:rsid w:val="00501228"/>
    <w:rsid w:val="005200AD"/>
    <w:rsid w:val="005225CE"/>
    <w:rsid w:val="005370C6"/>
    <w:rsid w:val="005655FD"/>
    <w:rsid w:val="005705F9"/>
    <w:rsid w:val="005873BD"/>
    <w:rsid w:val="005A6D62"/>
    <w:rsid w:val="005D785D"/>
    <w:rsid w:val="005E37A1"/>
    <w:rsid w:val="005E6E3D"/>
    <w:rsid w:val="005F1489"/>
    <w:rsid w:val="00615253"/>
    <w:rsid w:val="00615CCF"/>
    <w:rsid w:val="00626077"/>
    <w:rsid w:val="00686974"/>
    <w:rsid w:val="0069452B"/>
    <w:rsid w:val="006A3D5C"/>
    <w:rsid w:val="006A3DD8"/>
    <w:rsid w:val="006B3B1A"/>
    <w:rsid w:val="006C51BD"/>
    <w:rsid w:val="006D3184"/>
    <w:rsid w:val="006F29B1"/>
    <w:rsid w:val="00706974"/>
    <w:rsid w:val="00715F32"/>
    <w:rsid w:val="00790575"/>
    <w:rsid w:val="007B29AC"/>
    <w:rsid w:val="007E64AB"/>
    <w:rsid w:val="007F2289"/>
    <w:rsid w:val="007F236B"/>
    <w:rsid w:val="007F7D1C"/>
    <w:rsid w:val="00816B7E"/>
    <w:rsid w:val="00833C97"/>
    <w:rsid w:val="00847A16"/>
    <w:rsid w:val="00854529"/>
    <w:rsid w:val="0086427F"/>
    <w:rsid w:val="008642BD"/>
    <w:rsid w:val="00875044"/>
    <w:rsid w:val="00877CD3"/>
    <w:rsid w:val="008803C4"/>
    <w:rsid w:val="008A07F2"/>
    <w:rsid w:val="008B3905"/>
    <w:rsid w:val="008F5F73"/>
    <w:rsid w:val="00911210"/>
    <w:rsid w:val="00932EE1"/>
    <w:rsid w:val="00983776"/>
    <w:rsid w:val="009917A8"/>
    <w:rsid w:val="009A1256"/>
    <w:rsid w:val="009B5574"/>
    <w:rsid w:val="009C056C"/>
    <w:rsid w:val="009C12B5"/>
    <w:rsid w:val="009D54F1"/>
    <w:rsid w:val="009F3D98"/>
    <w:rsid w:val="00A13084"/>
    <w:rsid w:val="00A2281D"/>
    <w:rsid w:val="00A268A1"/>
    <w:rsid w:val="00A671C9"/>
    <w:rsid w:val="00A74552"/>
    <w:rsid w:val="00A81FFC"/>
    <w:rsid w:val="00A86EFC"/>
    <w:rsid w:val="00A97046"/>
    <w:rsid w:val="00A97D6D"/>
    <w:rsid w:val="00AA6263"/>
    <w:rsid w:val="00AB7D11"/>
    <w:rsid w:val="00AC57C0"/>
    <w:rsid w:val="00AD2C9B"/>
    <w:rsid w:val="00AE5E64"/>
    <w:rsid w:val="00AF641A"/>
    <w:rsid w:val="00B04351"/>
    <w:rsid w:val="00B1162C"/>
    <w:rsid w:val="00B24A04"/>
    <w:rsid w:val="00B35D11"/>
    <w:rsid w:val="00B35DB9"/>
    <w:rsid w:val="00B43D8B"/>
    <w:rsid w:val="00B47927"/>
    <w:rsid w:val="00B62B32"/>
    <w:rsid w:val="00B716A7"/>
    <w:rsid w:val="00B741BE"/>
    <w:rsid w:val="00B75576"/>
    <w:rsid w:val="00BB5F01"/>
    <w:rsid w:val="00BD09FE"/>
    <w:rsid w:val="00BE31B1"/>
    <w:rsid w:val="00BE66E8"/>
    <w:rsid w:val="00C63343"/>
    <w:rsid w:val="00C752A0"/>
    <w:rsid w:val="00C91765"/>
    <w:rsid w:val="00C94877"/>
    <w:rsid w:val="00C94E24"/>
    <w:rsid w:val="00CB486C"/>
    <w:rsid w:val="00CD00B9"/>
    <w:rsid w:val="00CF4304"/>
    <w:rsid w:val="00D07DAF"/>
    <w:rsid w:val="00D13587"/>
    <w:rsid w:val="00D1730F"/>
    <w:rsid w:val="00D475E9"/>
    <w:rsid w:val="00D57014"/>
    <w:rsid w:val="00D60512"/>
    <w:rsid w:val="00D702C1"/>
    <w:rsid w:val="00D77B62"/>
    <w:rsid w:val="00D8149D"/>
    <w:rsid w:val="00D9067F"/>
    <w:rsid w:val="00E1683A"/>
    <w:rsid w:val="00E32034"/>
    <w:rsid w:val="00E467AF"/>
    <w:rsid w:val="00E47F89"/>
    <w:rsid w:val="00E917C5"/>
    <w:rsid w:val="00EA1289"/>
    <w:rsid w:val="00EA5133"/>
    <w:rsid w:val="00EC2869"/>
    <w:rsid w:val="00EF0549"/>
    <w:rsid w:val="00F057D9"/>
    <w:rsid w:val="00F34176"/>
    <w:rsid w:val="00F4084F"/>
    <w:rsid w:val="00F526A1"/>
    <w:rsid w:val="00F55D22"/>
    <w:rsid w:val="00F7621A"/>
    <w:rsid w:val="00F83C33"/>
    <w:rsid w:val="00F879A0"/>
    <w:rsid w:val="00FD740E"/>
    <w:rsid w:val="026B25EF"/>
    <w:rsid w:val="028E19DD"/>
    <w:rsid w:val="030A70FE"/>
    <w:rsid w:val="08162D59"/>
    <w:rsid w:val="09121D94"/>
    <w:rsid w:val="0ABF309D"/>
    <w:rsid w:val="0B204B7A"/>
    <w:rsid w:val="11BC267C"/>
    <w:rsid w:val="1BFD2268"/>
    <w:rsid w:val="1F5C156B"/>
    <w:rsid w:val="250660A3"/>
    <w:rsid w:val="270E55FD"/>
    <w:rsid w:val="321C287A"/>
    <w:rsid w:val="36E006D4"/>
    <w:rsid w:val="388A4336"/>
    <w:rsid w:val="399D0DC5"/>
    <w:rsid w:val="3A624B62"/>
    <w:rsid w:val="3F047C07"/>
    <w:rsid w:val="4A072D8B"/>
    <w:rsid w:val="4F9D038A"/>
    <w:rsid w:val="54AD3207"/>
    <w:rsid w:val="5E3344B0"/>
    <w:rsid w:val="659854A6"/>
    <w:rsid w:val="65CE7B36"/>
    <w:rsid w:val="68334DD9"/>
    <w:rsid w:val="6C281977"/>
    <w:rsid w:val="700E08E1"/>
    <w:rsid w:val="740050F7"/>
    <w:rsid w:val="74514E03"/>
    <w:rsid w:val="78A97CBB"/>
    <w:rsid w:val="7E60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syzx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zx606</dc:creator>
  <cp:lastModifiedBy>user</cp:lastModifiedBy>
  <cp:revision>31</cp:revision>
  <cp:lastPrinted>2019-08-26T08:22:00Z</cp:lastPrinted>
  <dcterms:created xsi:type="dcterms:W3CDTF">2018-04-26T01:21:00Z</dcterms:created>
  <dcterms:modified xsi:type="dcterms:W3CDTF">2022-08-18T04:45:00Z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